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CA2C34" w:rsidRPr="00EF0FB0">
        <w:rPr>
          <w:rFonts w:ascii="Times New Roman" w:hAnsi="Times New Roman" w:cs="Times New Roman"/>
          <w:b/>
        </w:rPr>
        <w:t>В срок с 2</w:t>
      </w:r>
      <w:r w:rsidRPr="00EF0FB0">
        <w:rPr>
          <w:rFonts w:ascii="Times New Roman" w:hAnsi="Times New Roman" w:cs="Times New Roman"/>
          <w:b/>
        </w:rPr>
        <w:t>2 апреля</w:t>
      </w:r>
      <w:r w:rsidR="00A23AAB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Pr="00EF0FB0">
        <w:rPr>
          <w:rFonts w:ascii="Times New Roman" w:hAnsi="Times New Roman" w:cs="Times New Roman"/>
          <w:b/>
        </w:rPr>
        <w:t>0</w:t>
      </w:r>
      <w:r w:rsidR="00CA2C34" w:rsidRPr="00EF0FB0">
        <w:rPr>
          <w:rFonts w:ascii="Times New Roman" w:hAnsi="Times New Roman" w:cs="Times New Roman"/>
          <w:b/>
        </w:rPr>
        <w:t>6</w:t>
      </w:r>
      <w:r w:rsidR="0077434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ма</w:t>
      </w:r>
      <w:r w:rsidR="005A6FED" w:rsidRPr="00EF0FB0">
        <w:rPr>
          <w:rFonts w:ascii="Times New Roman" w:hAnsi="Times New Roman" w:cs="Times New Roman"/>
          <w:b/>
        </w:rPr>
        <w:t>я 2020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«Можгинский район» от 15.04.2020г. № 246 «Об утверждении отчета об исполнении  бюджета муниципального образования «Можгинский район»» за 1 квартал 2020 год.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="00CA2C34" w:rsidRPr="00EF0FB0">
        <w:rPr>
          <w:rFonts w:ascii="Times New Roman" w:hAnsi="Times New Roman" w:cs="Times New Roman"/>
          <w:i/>
        </w:rPr>
        <w:t>Ф</w:t>
      </w:r>
      <w:r w:rsidR="00A23AAB" w:rsidRPr="00EF0FB0">
        <w:rPr>
          <w:rFonts w:ascii="Times New Roman" w:hAnsi="Times New Roman" w:cs="Times New Roman"/>
          <w:i/>
        </w:rPr>
        <w:t xml:space="preserve">инансово-экономическая экспертиза на проект </w:t>
      </w:r>
      <w:r w:rsidRPr="00EF0FB0">
        <w:rPr>
          <w:rFonts w:ascii="Times New Roman" w:hAnsi="Times New Roman" w:cs="Times New Roman"/>
          <w:i/>
        </w:rPr>
        <w:t>на  постановление Администрации муниципального образования «Можгинский район» от 15.04.2020г. № 246 «Об утверждении отчета об исполнении  бюджета муниципального образования «Можгинский район»» за 1 квартал 2020 год</w:t>
      </w:r>
      <w:r w:rsidRPr="00EF0FB0">
        <w:rPr>
          <w:rFonts w:ascii="Times New Roman" w:hAnsi="Times New Roman" w:cs="Times New Roman"/>
          <w:b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проведена в соответствии</w:t>
      </w:r>
      <w:r w:rsidR="00A23AAB" w:rsidRPr="00EF0FB0">
        <w:rPr>
          <w:rFonts w:ascii="Times New Roman" w:hAnsi="Times New Roman" w:cs="Times New Roman"/>
          <w:i/>
        </w:rPr>
        <w:t xml:space="preserve">  </w:t>
      </w:r>
      <w:r w:rsidRPr="00EF0FB0">
        <w:rPr>
          <w:rFonts w:ascii="Times New Roman" w:hAnsi="Times New Roman" w:cs="Times New Roman"/>
          <w:i/>
        </w:rPr>
        <w:t>со ст. 264.2  Бюджетн</w:t>
      </w:r>
      <w:r>
        <w:rPr>
          <w:rFonts w:ascii="Times New Roman" w:hAnsi="Times New Roman" w:cs="Times New Roman"/>
          <w:i/>
        </w:rPr>
        <w:t>ого</w:t>
      </w:r>
      <w:r w:rsidRPr="00EF0FB0">
        <w:rPr>
          <w:rFonts w:ascii="Times New Roman" w:hAnsi="Times New Roman" w:cs="Times New Roman"/>
          <w:i/>
        </w:rPr>
        <w:t xml:space="preserve"> кодексом Российской Федерации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БК РФ), положениями Федерального закона от 07.02.2011г.  №  6-ФЗ «Об общих принципах организации и деятельности контрольно-счетных органов субъектов Российской </w:t>
      </w:r>
      <w:proofErr w:type="gramStart"/>
      <w:r w:rsidRPr="00EF0FB0">
        <w:rPr>
          <w:rFonts w:ascii="Times New Roman" w:hAnsi="Times New Roman" w:cs="Times New Roman"/>
          <w:i/>
        </w:rPr>
        <w:t>Федерации и муниципальных образований»,  в ред. изменений,  Уставом муниципального образования «Можгинский район», на основании Положения  о контрольно - счетном отделе</w:t>
      </w:r>
      <w:r>
        <w:t xml:space="preserve"> </w:t>
      </w:r>
      <w:r w:rsidRPr="00EF0FB0">
        <w:rPr>
          <w:rFonts w:ascii="Times New Roman" w:hAnsi="Times New Roman" w:cs="Times New Roman"/>
          <w:i/>
        </w:rPr>
        <w:t>муниципального образования «Можгинский район», утвержденного Решением Совета депутатов муниципального образования «Можгинский район» (далее – районный Совет депутатов) от 24.11.2011г.  № 37.6 (в ред. изменений), п. 2.3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</w:t>
      </w:r>
      <w:proofErr w:type="gramEnd"/>
      <w:r w:rsidRPr="00EF0FB0">
        <w:rPr>
          <w:rFonts w:ascii="Times New Roman" w:hAnsi="Times New Roman" w:cs="Times New Roman"/>
          <w:i/>
        </w:rPr>
        <w:t xml:space="preserve"> районного Совета депутатов от 18.12.2019г. № 30.9, Стандарта  внешнего муниципального финансового контроля «Проведение экспертно-аналитического мероприятия»</w:t>
      </w:r>
      <w:r w:rsidRPr="00EF0FB0">
        <w:rPr>
          <w:rFonts w:ascii="Times New Roman" w:hAnsi="Times New Roman" w:cs="Times New Roman"/>
          <w:bCs/>
          <w:i/>
        </w:rPr>
        <w:t xml:space="preserve">, утвержденного председателем контрольно-счетного отдела.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является:</w:t>
      </w:r>
      <w:r w:rsidRPr="00EF0FB0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Предметом экспертно-аналитического мероприятия явились:   постановление Администрации муниципального образования «Можгинский район» от 15.04.2020г. № 246  «Об утверждении отчета об исполнении  бюджета муниципального образования «Можгинский  район» за 1 квартал 2020 года»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Постановление № 246 ), Отчет ф. 0503317,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 (далее- Положение о бюджетном процессе), муниципальные правовые акты, </w:t>
      </w:r>
      <w:r w:rsidRPr="00EF0FB0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EF0FB0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«Можгинский район»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МО «Можгинский район», иные распорядительные документы.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Объекты экспертно-аналитического </w:t>
      </w:r>
      <w:r w:rsidRPr="001F4911">
        <w:rPr>
          <w:rFonts w:ascii="Times New Roman" w:hAnsi="Times New Roman" w:cs="Times New Roman"/>
          <w:i/>
        </w:rPr>
        <w:t xml:space="preserve">мероприятия:  </w:t>
      </w:r>
      <w:proofErr w:type="gramStart"/>
      <w:r w:rsidRPr="001F4911">
        <w:rPr>
          <w:rFonts w:ascii="Times New Roman" w:hAnsi="Times New Roman" w:cs="Times New Roman"/>
          <w:i/>
        </w:rPr>
        <w:t xml:space="preserve">Администрация муниципального образования «Можгинский район»),  Управление финансов Администрации муниципального образования «Можгинский район». </w:t>
      </w:r>
      <w:proofErr w:type="gramEnd"/>
    </w:p>
    <w:p w:rsidR="00EF0FB0" w:rsidRPr="001F4911" w:rsidRDefault="00EF0FB0" w:rsidP="00EF0FB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1.Бюджет района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2. Согласно данных отчета об исполнении бюджета района  доходы при плане- 857 960,0 тыс. руб., уточненном – 879 142,3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 xml:space="preserve">уб., за 1 квартал поступили в сумме 186 504,3 тыс. руб., или   21,7 % от плана и 21,2 % от уточненных назначений.  В сравнении с аналогичным периодом 2019 года доходы в 1 квартале 2020г. общий объем доходов ниже на 414,4 тыс. руб. 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Структура исполненных доходов бюджета района за 1 квартал 2020 года: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- налоговые доходы в сумме 46 622,0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 к 44 215,8 тыс.руб. в 2019г., или 21,5 % от плановых назначений;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- неналоговые доходы в сумме 5 117,0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 к 5 986,6 тыс.руб. в 2019г., или 40,8 % от плановых назначений;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lastRenderedPageBreak/>
        <w:t>- безвозмездные поступления при плане- 628 818,0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уб., уточненном- 650 000,3 тыс.руб., поступили в сумме 134 765,3 тыс.руб., или 21,4 % от плановых и 20,7% от уточненных показателей (за 1 квартал  2019г. в размере 136 716,3 тыс.руб.</w:t>
      </w:r>
    </w:p>
    <w:p w:rsidR="00EF0FB0" w:rsidRPr="001F4911" w:rsidRDefault="00EF0FB0" w:rsidP="00EF0FB0">
      <w:pPr>
        <w:autoSpaceDE w:val="0"/>
        <w:autoSpaceDN w:val="0"/>
        <w:adjustRightInd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  <w:color w:val="000000"/>
        </w:rPr>
      </w:pPr>
      <w:r w:rsidRPr="001F4911">
        <w:rPr>
          <w:rFonts w:ascii="Times New Roman" w:hAnsi="Times New Roman" w:cs="Times New Roman"/>
          <w:i/>
        </w:rPr>
        <w:t>Из проведенного анализа следует, что за 1 квартал 2020 года н</w:t>
      </w:r>
      <w:r w:rsidRPr="001F4911">
        <w:rPr>
          <w:rFonts w:ascii="Times New Roman" w:hAnsi="Times New Roman" w:cs="Times New Roman"/>
          <w:i/>
          <w:color w:val="000000"/>
        </w:rPr>
        <w:t xml:space="preserve">алоговые и неналоговые доходы не достигли 25,0% уровень от плановых назначений, </w:t>
      </w:r>
      <w:r w:rsidRPr="001F4911">
        <w:rPr>
          <w:rFonts w:ascii="Times New Roman" w:hAnsi="Times New Roman" w:cs="Times New Roman"/>
          <w:i/>
        </w:rPr>
        <w:t>но согласно плана поступлений налоговых и неналоговых доходов на 2020 год, согласованного с Минфином УР, план по доходам за 1 квартал согласован  в сумме 48 207,0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 xml:space="preserve">уб., т.е. перевыполнен на сумму 3 532,0 тыс.руб. </w:t>
      </w:r>
      <w:r w:rsidRPr="001F4911">
        <w:rPr>
          <w:rFonts w:ascii="Times New Roman" w:hAnsi="Times New Roman" w:cs="Times New Roman"/>
          <w:i/>
          <w:color w:val="000000"/>
        </w:rPr>
        <w:t xml:space="preserve">  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Налоговая недоимка</w:t>
      </w:r>
      <w:r w:rsidRPr="001F4911">
        <w:rPr>
          <w:rFonts w:ascii="Times New Roman" w:hAnsi="Times New Roman" w:cs="Times New Roman"/>
          <w:b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01.04.2019 года составила в сумме 293,9 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уб., т.е. уменьшилась на 663,7  тыс.руб. к уровню  аналогичного периода 2019г. ( 957,6 тыс.руб.).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 Расходы при плане – 857 960,0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 xml:space="preserve">уб., уточненном – 924 879,0 тыс.руб., за 1 квартал  освоены  в сумме 208 791,9 </w:t>
      </w:r>
      <w:r w:rsidRPr="001F4911">
        <w:rPr>
          <w:rFonts w:ascii="Times New Roman" w:hAnsi="Times New Roman" w:cs="Times New Roman"/>
          <w:b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 xml:space="preserve">тыс. руб., или 24,3% от плановых и  22,6% от уточненных бюджетных ассигнований.  Расходы  достигли и превысили 25 % уровень:  от плановых бюджетных ассигнований по разделам: «Образование» - 25,9 %, «Культура и кинематография» - 27,2%, «Социальная политика»  – 28,4 %,  </w:t>
      </w:r>
      <w:r w:rsidRPr="001F4911">
        <w:rPr>
          <w:rFonts w:ascii="Times New Roman" w:hAnsi="Times New Roman" w:cs="Times New Roman"/>
          <w:b/>
          <w:i/>
        </w:rPr>
        <w:t>«</w:t>
      </w:r>
      <w:r w:rsidRPr="001F4911">
        <w:rPr>
          <w:rFonts w:ascii="Times New Roman" w:hAnsi="Times New Roman" w:cs="Times New Roman"/>
          <w:i/>
        </w:rPr>
        <w:t xml:space="preserve">Физическая культура и спорт» - 33,5%;  </w:t>
      </w:r>
      <w:proofErr w:type="gramStart"/>
      <w:r w:rsidRPr="001F4911">
        <w:rPr>
          <w:rFonts w:ascii="Times New Roman" w:hAnsi="Times New Roman" w:cs="Times New Roman"/>
          <w:i/>
        </w:rPr>
        <w:t>от</w:t>
      </w:r>
      <w:proofErr w:type="gramEnd"/>
      <w:r w:rsidRPr="001F4911">
        <w:rPr>
          <w:rFonts w:ascii="Times New Roman" w:hAnsi="Times New Roman" w:cs="Times New Roman"/>
          <w:i/>
        </w:rPr>
        <w:t xml:space="preserve">  уточненных  по разделам: «Социальная политика»  – 28,4 %, « Обслуживание государственного и муниципального долга» -  25,5%. Следует отметить низкий процент исполнения от уточненных назначений по следующим разделам: «Жилищно-коммунальное хозяйство» - 0,4% к 0,8% аналогичного периода 2019г.;   «Национальная экономика» – 14,0% к  5,6 % в 2019г.; «Национальная безопасность и правоохранительная деятельность» – 16,7% к 6,8 % в 2019г.; «Общегосударственные вопросы» – 17,3% </w:t>
      </w:r>
      <w:proofErr w:type="gramStart"/>
      <w:r w:rsidRPr="001F4911">
        <w:rPr>
          <w:rFonts w:ascii="Times New Roman" w:hAnsi="Times New Roman" w:cs="Times New Roman"/>
          <w:i/>
        </w:rPr>
        <w:t>к</w:t>
      </w:r>
      <w:proofErr w:type="gramEnd"/>
      <w:r w:rsidRPr="001F4911">
        <w:rPr>
          <w:rFonts w:ascii="Times New Roman" w:hAnsi="Times New Roman" w:cs="Times New Roman"/>
          <w:i/>
        </w:rPr>
        <w:t xml:space="preserve"> 16,3 % в 2019г.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Самый маленький процент исполнения расходов по ГРБС:  районный Совет депутатов- 14,6%,  Администрация района- 15,4  %,   а самый большой процент по Управлению образования- 24,3 %. Процент исполнения расходной части от уточненных бюджетных ассигнований ни у одного ГРБС не достиг 25% уровень.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Общий объем бюджетных ассигнований по  муниципальным программам при плане- 846433,3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уб., уточненном- 914 534,7 тыс.руб., за 1 квартал освоены в сумме 208 092,6 тыс. руб., или 24,6% от плановых и 22,8% от уточненных бюджетных ассигнований, что выше аналогичного периода 2019 года на сумму 29 770,3 тыс.руб.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Анализом показателей объема бюджетных ассигнований на реализацию </w:t>
      </w:r>
      <w:proofErr w:type="gramStart"/>
      <w:r w:rsidRPr="001F4911">
        <w:rPr>
          <w:rFonts w:ascii="Times New Roman" w:hAnsi="Times New Roman" w:cs="Times New Roman"/>
          <w:i/>
        </w:rPr>
        <w:t>муниципальных  программ, предусмотренных к финансированию за счет средств бюджета района выявлено</w:t>
      </w:r>
      <w:proofErr w:type="gramEnd"/>
      <w:r w:rsidRPr="001F4911">
        <w:rPr>
          <w:rFonts w:ascii="Times New Roman" w:hAnsi="Times New Roman" w:cs="Times New Roman"/>
          <w:i/>
        </w:rPr>
        <w:t>, что: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 не достигли  25%  уровень от плановых бюджетных ассигнований по программам: </w:t>
      </w:r>
      <w:r w:rsidRPr="001F4911">
        <w:rPr>
          <w:rFonts w:ascii="Times New Roman" w:hAnsi="Times New Roman" w:cs="Times New Roman"/>
          <w:i/>
          <w:color w:val="000000"/>
        </w:rPr>
        <w:t>Охрана здоровья и формирование здорового образа жизни населения» - 10,0%;</w:t>
      </w:r>
      <w:r w:rsidRPr="001F4911">
        <w:rPr>
          <w:rFonts w:ascii="Times New Roman" w:hAnsi="Times New Roman" w:cs="Times New Roman"/>
          <w:i/>
        </w:rPr>
        <w:t xml:space="preserve"> «Безопасность» - 17,1%; «Содержание и развитие муниципального хозяйства» - 14,6%; «Муниципальное управление»- 18,6%;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не достигли  25 %  уровень от  уточненных бюджетных ассигнований по программам: «Развитие образования и воспитания»</w:t>
      </w:r>
      <w:r w:rsidR="001F4911">
        <w:rPr>
          <w:rFonts w:ascii="Times New Roman" w:hAnsi="Times New Roman" w:cs="Times New Roman"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>- 24,4%; «</w:t>
      </w:r>
      <w:r w:rsidRPr="001F4911">
        <w:rPr>
          <w:rFonts w:ascii="Times New Roman" w:hAnsi="Times New Roman" w:cs="Times New Roman"/>
          <w:i/>
          <w:color w:val="000000"/>
        </w:rPr>
        <w:t xml:space="preserve">Охрана здоровья и формирование здорового образа жизни населения» - 8,6%; </w:t>
      </w:r>
      <w:r w:rsidRPr="001F4911">
        <w:rPr>
          <w:rFonts w:ascii="Times New Roman" w:hAnsi="Times New Roman" w:cs="Times New Roman"/>
          <w:i/>
        </w:rPr>
        <w:t>«Развитие культуры»- 22,7%; «Безопасность» - 16,6%; «Содержание и развитие муниципального хозяйства» - 11,4%; «Управление муниципальными финансами – 15,7%; «Муниципальное управление»- 18,4%;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  <w:color w:val="000000"/>
        </w:rPr>
      </w:pPr>
      <w:r w:rsidRPr="001F4911">
        <w:rPr>
          <w:rFonts w:ascii="Times New Roman" w:hAnsi="Times New Roman" w:cs="Times New Roman"/>
          <w:i/>
          <w:color w:val="000000"/>
        </w:rPr>
        <w:t xml:space="preserve">и три программы: </w:t>
      </w:r>
      <w:proofErr w:type="gramStart"/>
      <w:r w:rsidRPr="001F4911">
        <w:rPr>
          <w:rFonts w:ascii="Times New Roman" w:hAnsi="Times New Roman" w:cs="Times New Roman"/>
          <w:i/>
          <w:color w:val="000000"/>
        </w:rPr>
        <w:t>«Социальная поддержка населения» исполнение составило 27,8% от плановых и от уточненных бюджетных ассигнований; «Создание условий для устойчивого экономического развития» исполнение составило 32,8% от плановых и от уточненных бюджетных ассигнований; «Энергосбережение и повышение энергетической эффективности муниципального образования «Можгинский район» исполнение составило 47,5% от плановых и 37,8% от уточненных бюджетных ассигнований.</w:t>
      </w:r>
      <w:proofErr w:type="gramEnd"/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Бюджетные ассигнования  на финансовое обеспечение  непрограммных направлений деятельности при плане  в сумме 11 526,7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>уб., уточненном - 10 344,3  тыс.руб., за 1 квартал  исполнены в сумме 699,3 тыс. руб., или 6,1% от плана и 6,8 % от уточненного плана, что ниже аналогичного периода 2019 года на сумму 442,2 тыс.руб.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Решением № 30.4  бюджет района утвержден бездефицитным, при уточнении  дефицит бюджета сформировался в сумме </w:t>
      </w:r>
      <w:r w:rsidRPr="001F4911">
        <w:rPr>
          <w:rFonts w:ascii="Times New Roman" w:hAnsi="Times New Roman" w:cs="Times New Roman"/>
          <w:i/>
          <w:color w:val="000000"/>
        </w:rPr>
        <w:t xml:space="preserve">45 736,7 </w:t>
      </w:r>
      <w:r w:rsidRPr="001F4911">
        <w:rPr>
          <w:rFonts w:ascii="Times New Roman" w:hAnsi="Times New Roman" w:cs="Times New Roman"/>
          <w:i/>
        </w:rPr>
        <w:t>тыс.</w:t>
      </w:r>
      <w:r w:rsidR="001F4911">
        <w:rPr>
          <w:rFonts w:ascii="Times New Roman" w:hAnsi="Times New Roman" w:cs="Times New Roman"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>руб. За 1 квартал 2020 года   бюджет района  по доходам в сумме 186 504,3 тыс</w:t>
      </w:r>
      <w:proofErr w:type="gramStart"/>
      <w:r w:rsidRPr="001F4911">
        <w:rPr>
          <w:rFonts w:ascii="Times New Roman" w:hAnsi="Times New Roman" w:cs="Times New Roman"/>
          <w:i/>
        </w:rPr>
        <w:t>.р</w:t>
      </w:r>
      <w:proofErr w:type="gramEnd"/>
      <w:r w:rsidRPr="001F4911">
        <w:rPr>
          <w:rFonts w:ascii="Times New Roman" w:hAnsi="Times New Roman" w:cs="Times New Roman"/>
          <w:i/>
        </w:rPr>
        <w:t xml:space="preserve">уб., расходам в сумме 208 791,9 тыс.руб. исполнен с дефицитом в сумме 22 287,6 тыс.руб., что соответствует Отчету </w:t>
      </w:r>
      <w:r w:rsidRPr="001F4911">
        <w:rPr>
          <w:rFonts w:ascii="Times New Roman" w:hAnsi="Times New Roman" w:cs="Times New Roman"/>
          <w:i/>
          <w:color w:val="000000"/>
        </w:rPr>
        <w:t xml:space="preserve">  ф.  0503317.</w:t>
      </w:r>
      <w:r w:rsidRPr="001F4911">
        <w:rPr>
          <w:rFonts w:ascii="Times New Roman" w:hAnsi="Times New Roman" w:cs="Times New Roman"/>
          <w:i/>
        </w:rPr>
        <w:t xml:space="preserve"> Ограничения в отношении предельного уровня дефицита бюджета района, установленные п. 3 ст. 92.1 БК РФ не нарушены, так как источником финансирования утвержденного дефицита бюджета  явилось изменение остатков средств на счетах по учету средств бюджета  в сумме 22 287,6 тыс. руб.</w:t>
      </w:r>
    </w:p>
    <w:p w:rsidR="00EF0FB0" w:rsidRPr="001F4911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Решением № 30.4  объем расходов на обслуживание муниципального внутреннего долга в 2020 году утвержден в размере 3 092,8 тыс. руб., в 2021 году в размере 0   тыс. руб. и в 2022 году в размере 0   тыс. руб. В феврале внесены </w:t>
      </w:r>
      <w:proofErr w:type="gramStart"/>
      <w:r w:rsidRPr="001F4911">
        <w:rPr>
          <w:rFonts w:ascii="Times New Roman" w:hAnsi="Times New Roman" w:cs="Times New Roman"/>
          <w:i/>
        </w:rPr>
        <w:t>изменения</w:t>
      </w:r>
      <w:proofErr w:type="gramEnd"/>
      <w:r w:rsidRPr="001F4911">
        <w:rPr>
          <w:rFonts w:ascii="Times New Roman" w:hAnsi="Times New Roman" w:cs="Times New Roman"/>
          <w:i/>
        </w:rPr>
        <w:t xml:space="preserve"> и расходы на обслуживание муниципального внутреннего долга </w:t>
      </w:r>
      <w:r w:rsidRPr="001F4911">
        <w:rPr>
          <w:rFonts w:ascii="Times New Roman" w:hAnsi="Times New Roman" w:cs="Times New Roman"/>
          <w:i/>
          <w:spacing w:val="2"/>
        </w:rPr>
        <w:t>в 2020 году уменьшились на сумму 466,8 тыс.</w:t>
      </w:r>
      <w:r w:rsidR="001F4911">
        <w:rPr>
          <w:rFonts w:ascii="Times New Roman" w:hAnsi="Times New Roman" w:cs="Times New Roman"/>
          <w:i/>
          <w:spacing w:val="2"/>
        </w:rPr>
        <w:t xml:space="preserve"> </w:t>
      </w:r>
      <w:r w:rsidRPr="001F4911">
        <w:rPr>
          <w:rFonts w:ascii="Times New Roman" w:hAnsi="Times New Roman" w:cs="Times New Roman"/>
          <w:i/>
          <w:spacing w:val="2"/>
        </w:rPr>
        <w:t>руб. и составят в сумме в размере 2 626,0  тыс.</w:t>
      </w:r>
      <w:r w:rsidR="001F4911">
        <w:rPr>
          <w:rFonts w:ascii="Times New Roman" w:hAnsi="Times New Roman" w:cs="Times New Roman"/>
          <w:i/>
          <w:spacing w:val="2"/>
        </w:rPr>
        <w:t xml:space="preserve"> </w:t>
      </w:r>
      <w:r w:rsidRPr="001F4911">
        <w:rPr>
          <w:rFonts w:ascii="Times New Roman" w:hAnsi="Times New Roman" w:cs="Times New Roman"/>
          <w:i/>
          <w:spacing w:val="2"/>
        </w:rPr>
        <w:t xml:space="preserve">руб.; на 2021 год </w:t>
      </w:r>
      <w:r w:rsidRPr="001F4911">
        <w:rPr>
          <w:rFonts w:ascii="Times New Roman" w:hAnsi="Times New Roman" w:cs="Times New Roman"/>
          <w:i/>
          <w:spacing w:val="2"/>
        </w:rPr>
        <w:lastRenderedPageBreak/>
        <w:t>запланированы  в размере 445,3 тыс. руб. и 2022 году в размере 0 тыс.</w:t>
      </w:r>
      <w:r w:rsidR="001F4911">
        <w:rPr>
          <w:rFonts w:ascii="Times New Roman" w:hAnsi="Times New Roman" w:cs="Times New Roman"/>
          <w:i/>
          <w:spacing w:val="2"/>
        </w:rPr>
        <w:t xml:space="preserve"> </w:t>
      </w:r>
      <w:r w:rsidRPr="001F4911">
        <w:rPr>
          <w:rFonts w:ascii="Times New Roman" w:hAnsi="Times New Roman" w:cs="Times New Roman"/>
          <w:i/>
          <w:spacing w:val="2"/>
        </w:rPr>
        <w:t xml:space="preserve">руб. </w:t>
      </w:r>
      <w:r w:rsidRPr="001F4911">
        <w:rPr>
          <w:rFonts w:ascii="Times New Roman" w:hAnsi="Times New Roman" w:cs="Times New Roman"/>
          <w:i/>
        </w:rPr>
        <w:t>На обслуживание  муниципального</w:t>
      </w:r>
      <w:r w:rsidRPr="001F4911">
        <w:rPr>
          <w:rFonts w:ascii="Times New Roman" w:hAnsi="Times New Roman" w:cs="Times New Roman"/>
          <w:b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>долга из бюджета района в 1 квартале направлены расходы в размере 721,1 тыс.</w:t>
      </w:r>
      <w:r w:rsidR="001F4911">
        <w:rPr>
          <w:rFonts w:ascii="Times New Roman" w:hAnsi="Times New Roman" w:cs="Times New Roman"/>
          <w:i/>
        </w:rPr>
        <w:t xml:space="preserve"> </w:t>
      </w:r>
      <w:r w:rsidRPr="001F4911">
        <w:rPr>
          <w:rFonts w:ascii="Times New Roman" w:hAnsi="Times New Roman" w:cs="Times New Roman"/>
          <w:i/>
        </w:rPr>
        <w:t xml:space="preserve">руб. </w:t>
      </w:r>
    </w:p>
    <w:p w:rsidR="00EF0FB0" w:rsidRPr="001F4911" w:rsidRDefault="00EF0FB0" w:rsidP="00EF0FB0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Style w:val="ac"/>
          <w:rFonts w:ascii="Times New Roman" w:hAnsi="Times New Roman" w:cs="Times New Roman"/>
          <w:color w:val="000000"/>
        </w:rPr>
      </w:pPr>
      <w:r w:rsidRPr="001F4911">
        <w:rPr>
          <w:rFonts w:ascii="Times New Roman" w:hAnsi="Times New Roman" w:cs="Times New Roman"/>
          <w:i/>
        </w:rPr>
        <w:t xml:space="preserve">3. 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1F4911">
        <w:rPr>
          <w:rStyle w:val="ac"/>
          <w:rFonts w:ascii="Times New Roman" w:hAnsi="Times New Roman" w:cs="Times New Roman"/>
          <w:color w:val="000000"/>
        </w:rPr>
        <w:t xml:space="preserve">29.11.2019г. № 206н); </w:t>
      </w:r>
      <w:r w:rsidRPr="001F4911">
        <w:rPr>
          <w:rFonts w:ascii="Times New Roman" w:hAnsi="Times New Roman" w:cs="Times New Roman"/>
          <w:i/>
        </w:rPr>
        <w:t>от 29.11.2017г. № 209н «</w:t>
      </w:r>
      <w:r w:rsidRPr="001F4911">
        <w:rPr>
          <w:rFonts w:ascii="Times New Roman" w:hAnsi="Times New Roman" w:cs="Times New Roman"/>
          <w:bCs/>
          <w:i/>
          <w:shd w:val="clear" w:color="auto" w:fill="FFFFFF"/>
        </w:rPr>
        <w:t xml:space="preserve">Об утверждении </w:t>
      </w:r>
      <w:proofErr w:type="gramStart"/>
      <w:r w:rsidRPr="001F4911">
        <w:rPr>
          <w:rFonts w:ascii="Times New Roman" w:hAnsi="Times New Roman" w:cs="Times New Roman"/>
          <w:bCs/>
          <w:i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1F4911">
        <w:rPr>
          <w:rFonts w:ascii="Times New Roman" w:hAnsi="Times New Roman" w:cs="Times New Roman"/>
          <w:bCs/>
          <w:i/>
          <w:shd w:val="clear" w:color="auto" w:fill="FFFFFF"/>
        </w:rPr>
        <w:t xml:space="preserve"> управления</w:t>
      </w:r>
      <w:r w:rsidRPr="001F4911">
        <w:rPr>
          <w:rFonts w:ascii="Times New Roman" w:hAnsi="Times New Roman" w:cs="Times New Roman"/>
          <w:i/>
        </w:rPr>
        <w:t xml:space="preserve">», в ред. изменений.  </w:t>
      </w:r>
    </w:p>
    <w:p w:rsidR="00EF0FB0" w:rsidRPr="001F4911" w:rsidRDefault="00EF0FB0" w:rsidP="00EF0FB0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  <w:color w:val="000000"/>
        </w:rPr>
        <w:t xml:space="preserve"> 4</w:t>
      </w:r>
      <w:r w:rsidRPr="001F4911">
        <w:rPr>
          <w:rFonts w:ascii="Times New Roman" w:hAnsi="Times New Roman" w:cs="Times New Roman"/>
          <w:i/>
        </w:rPr>
        <w:t xml:space="preserve">. В целях более эффективного исполнения  бюджета района  за текущий год контрольно-счетный отдел считает целесообразным предложить  Администрации района: </w:t>
      </w:r>
    </w:p>
    <w:p w:rsidR="00EF0FB0" w:rsidRPr="001F4911" w:rsidRDefault="00EF0FB0" w:rsidP="00EF0FB0">
      <w:pPr>
        <w:shd w:val="clear" w:color="auto" w:fill="FFFFFF"/>
        <w:autoSpaceDE w:val="0"/>
        <w:autoSpaceDN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:rsidR="00EF0FB0" w:rsidRPr="001F4911" w:rsidRDefault="00EF0FB0" w:rsidP="00EF0FB0">
      <w:pPr>
        <w:pStyle w:val="a7"/>
        <w:tabs>
          <w:tab w:val="left" w:pos="0"/>
        </w:tabs>
        <w:ind w:left="-851" w:right="-284" w:firstLine="425"/>
        <w:jc w:val="both"/>
        <w:rPr>
          <w:i/>
          <w:sz w:val="22"/>
          <w:szCs w:val="22"/>
        </w:rPr>
      </w:pPr>
      <w:r w:rsidRPr="001F4911">
        <w:rPr>
          <w:i/>
          <w:sz w:val="22"/>
          <w:szCs w:val="22"/>
        </w:rPr>
        <w:t xml:space="preserve">    - продолжить работу по снижению общей недоимки по налогам и сборам,  а также другим закрепленным доходным источникам в бюджет района;</w:t>
      </w:r>
    </w:p>
    <w:p w:rsidR="00EF0FB0" w:rsidRPr="001F4911" w:rsidRDefault="00EF0FB0" w:rsidP="00EF0FB0">
      <w:pPr>
        <w:tabs>
          <w:tab w:val="left" w:pos="-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-  принять действенные меры по полному и своевременному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года. </w:t>
      </w:r>
    </w:p>
    <w:p w:rsidR="00F50D10" w:rsidRPr="001F4911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 xml:space="preserve">  </w:t>
      </w:r>
      <w:r w:rsidR="00F50D10" w:rsidRPr="001F4911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1F4911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Pr="001F4911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и</w:t>
      </w:r>
      <w:r w:rsidR="00F50D10" w:rsidRPr="001F4911">
        <w:rPr>
          <w:rFonts w:ascii="Times New Roman" w:hAnsi="Times New Roman" w:cs="Times New Roman"/>
          <w:i/>
        </w:rPr>
        <w:t xml:space="preserve">сп. </w:t>
      </w:r>
      <w:r w:rsidR="00774348" w:rsidRPr="001F4911">
        <w:rPr>
          <w:rFonts w:ascii="Times New Roman" w:hAnsi="Times New Roman" w:cs="Times New Roman"/>
          <w:i/>
        </w:rPr>
        <w:t>председатель</w:t>
      </w:r>
      <w:r w:rsidR="00F50D10" w:rsidRPr="001F4911">
        <w:rPr>
          <w:rFonts w:ascii="Times New Roman" w:hAnsi="Times New Roman" w:cs="Times New Roman"/>
          <w:i/>
        </w:rPr>
        <w:t xml:space="preserve">  КСО </w:t>
      </w:r>
      <w:r w:rsidR="00774348" w:rsidRPr="001F4911">
        <w:rPr>
          <w:rFonts w:ascii="Times New Roman" w:hAnsi="Times New Roman" w:cs="Times New Roman"/>
          <w:i/>
        </w:rPr>
        <w:t>Т</w:t>
      </w:r>
      <w:r w:rsidR="00F50D10" w:rsidRPr="001F4911">
        <w:rPr>
          <w:rFonts w:ascii="Times New Roman" w:hAnsi="Times New Roman" w:cs="Times New Roman"/>
          <w:i/>
        </w:rPr>
        <w:t>.</w:t>
      </w:r>
      <w:r w:rsidR="00774348" w:rsidRPr="001F4911">
        <w:rPr>
          <w:rFonts w:ascii="Times New Roman" w:hAnsi="Times New Roman" w:cs="Times New Roman"/>
          <w:i/>
        </w:rPr>
        <w:t>А</w:t>
      </w:r>
      <w:r w:rsidR="00F50D10" w:rsidRPr="001F4911">
        <w:rPr>
          <w:rFonts w:ascii="Times New Roman" w:hAnsi="Times New Roman" w:cs="Times New Roman"/>
          <w:i/>
        </w:rPr>
        <w:t>.</w:t>
      </w:r>
      <w:r w:rsidR="00774348" w:rsidRPr="001F4911">
        <w:rPr>
          <w:rFonts w:ascii="Times New Roman" w:hAnsi="Times New Roman" w:cs="Times New Roman"/>
          <w:i/>
        </w:rPr>
        <w:t xml:space="preserve"> Пантелеева</w:t>
      </w:r>
      <w:r w:rsidR="00F50D10" w:rsidRPr="001F4911">
        <w:rPr>
          <w:rFonts w:ascii="Times New Roman" w:hAnsi="Times New Roman" w:cs="Times New Roman"/>
          <w:i/>
        </w:rPr>
        <w:t>.</w:t>
      </w:r>
    </w:p>
    <w:p w:rsidR="00CA2C34" w:rsidRPr="001F4911" w:rsidRDefault="00EF0FB0" w:rsidP="00A23AAB">
      <w:pPr>
        <w:spacing w:after="0" w:line="240" w:lineRule="auto"/>
        <w:rPr>
          <w:rFonts w:ascii="Times New Roman" w:hAnsi="Times New Roman" w:cs="Times New Roman"/>
          <w:i/>
        </w:rPr>
      </w:pPr>
      <w:r w:rsidRPr="001F4911">
        <w:rPr>
          <w:rFonts w:ascii="Times New Roman" w:hAnsi="Times New Roman" w:cs="Times New Roman"/>
          <w:i/>
        </w:rPr>
        <w:t>07</w:t>
      </w:r>
      <w:r w:rsidR="00CA2C34" w:rsidRPr="001F4911">
        <w:rPr>
          <w:rFonts w:ascii="Times New Roman" w:hAnsi="Times New Roman" w:cs="Times New Roman"/>
          <w:i/>
        </w:rPr>
        <w:t>.0</w:t>
      </w:r>
      <w:r w:rsidRPr="001F4911">
        <w:rPr>
          <w:rFonts w:ascii="Times New Roman" w:hAnsi="Times New Roman" w:cs="Times New Roman"/>
          <w:i/>
        </w:rPr>
        <w:t>5</w:t>
      </w:r>
      <w:r w:rsidR="00CA2C34" w:rsidRPr="001F4911">
        <w:rPr>
          <w:rFonts w:ascii="Times New Roman" w:hAnsi="Times New Roman" w:cs="Times New Roman"/>
          <w:i/>
        </w:rPr>
        <w:t>.</w:t>
      </w:r>
      <w:bookmarkStart w:id="0" w:name="_GoBack"/>
      <w:bookmarkEnd w:id="0"/>
      <w:r w:rsidR="00CA2C34" w:rsidRPr="001F4911">
        <w:rPr>
          <w:rFonts w:ascii="Times New Roman" w:hAnsi="Times New Roman" w:cs="Times New Roman"/>
          <w:i/>
        </w:rPr>
        <w:t>20</w:t>
      </w:r>
      <w:r w:rsidR="007A3A4A" w:rsidRPr="001F4911">
        <w:rPr>
          <w:rFonts w:ascii="Times New Roman" w:hAnsi="Times New Roman" w:cs="Times New Roman"/>
          <w:i/>
        </w:rPr>
        <w:t>20</w:t>
      </w:r>
      <w:r w:rsidR="00CA2C34" w:rsidRPr="001F4911">
        <w:rPr>
          <w:rFonts w:ascii="Times New Roman" w:hAnsi="Times New Roman" w:cs="Times New Roman"/>
          <w:i/>
        </w:rPr>
        <w:t>г.</w:t>
      </w:r>
    </w:p>
    <w:sectPr w:rsidR="00CA2C34" w:rsidRPr="001F491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54"/>
    <w:rsid w:val="00022C93"/>
    <w:rsid w:val="00073CF3"/>
    <w:rsid w:val="000D027D"/>
    <w:rsid w:val="00154D0F"/>
    <w:rsid w:val="001F4911"/>
    <w:rsid w:val="00290B82"/>
    <w:rsid w:val="00370354"/>
    <w:rsid w:val="00394127"/>
    <w:rsid w:val="003B5C6C"/>
    <w:rsid w:val="00423B24"/>
    <w:rsid w:val="004D3F4A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34</cp:revision>
  <dcterms:created xsi:type="dcterms:W3CDTF">2017-04-21T05:10:00Z</dcterms:created>
  <dcterms:modified xsi:type="dcterms:W3CDTF">2020-05-13T09:33:00Z</dcterms:modified>
</cp:coreProperties>
</file>